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2F14" w14:textId="77777777" w:rsidR="001E56D8" w:rsidRPr="00ED391E" w:rsidRDefault="001E56D8" w:rsidP="00ED391E">
      <w:pPr>
        <w:spacing w:line="360" w:lineRule="auto"/>
        <w:ind w:left="284" w:right="288"/>
        <w:jc w:val="both"/>
        <w:rPr>
          <w:rFonts w:ascii="Verdana" w:hAnsi="Verdana"/>
        </w:rPr>
      </w:pPr>
    </w:p>
    <w:p w14:paraId="152348BA" w14:textId="13C07892" w:rsidR="001E56D8" w:rsidRPr="00ED391E" w:rsidRDefault="001E56D8" w:rsidP="00ED391E">
      <w:pPr>
        <w:spacing w:line="360" w:lineRule="auto"/>
        <w:ind w:left="284" w:right="288"/>
        <w:jc w:val="center"/>
        <w:rPr>
          <w:rFonts w:ascii="Verdana" w:hAnsi="Verdana"/>
        </w:rPr>
      </w:pPr>
      <w:r w:rsidRPr="00ED391E">
        <w:rPr>
          <w:rFonts w:ascii="Verdana" w:hAnsi="Verdana"/>
          <w:b/>
          <w:bCs/>
          <w:u w:val="single"/>
        </w:rPr>
        <w:t xml:space="preserve">AL JUZGADO DE GUARDIA DE </w:t>
      </w:r>
      <w:r w:rsidRPr="00ED391E">
        <w:rPr>
          <w:rFonts w:ascii="Verdana" w:hAnsi="Verdana"/>
          <w:u w:val="single"/>
        </w:rPr>
        <w:t>(……..nombre partido judicial del término municipal del denunciante)</w:t>
      </w:r>
    </w:p>
    <w:p w14:paraId="05A9CDDB" w14:textId="77777777" w:rsidR="001E56D8" w:rsidRPr="00ED391E" w:rsidRDefault="001E56D8" w:rsidP="00ED391E">
      <w:pPr>
        <w:spacing w:line="360" w:lineRule="auto"/>
        <w:ind w:left="284" w:right="288"/>
        <w:jc w:val="both"/>
        <w:rPr>
          <w:rFonts w:ascii="Verdana" w:hAnsi="Verdana"/>
        </w:rPr>
      </w:pPr>
    </w:p>
    <w:p w14:paraId="5E4B0C92" w14:textId="68FC33E2" w:rsidR="001E56D8" w:rsidRPr="00ED391E" w:rsidRDefault="001E56D8" w:rsidP="00ED391E">
      <w:pPr>
        <w:spacing w:line="360" w:lineRule="auto"/>
        <w:ind w:left="284" w:right="288"/>
        <w:jc w:val="both"/>
        <w:rPr>
          <w:rFonts w:ascii="Verdana" w:hAnsi="Verdana"/>
        </w:rPr>
      </w:pPr>
      <w:r w:rsidRPr="00ED391E">
        <w:rPr>
          <w:rFonts w:ascii="Verdana" w:hAnsi="Verdana"/>
        </w:rPr>
        <w:tab/>
        <w:t>DON/DOÑA……………………, mayor de edad, con D.N.I. nº……………………………, en mi propio nombre y representación, y con domicilio a efectos de notificaciones en C/</w:t>
      </w:r>
      <w:r w:rsidR="00F34579" w:rsidRPr="00ED391E">
        <w:rPr>
          <w:rFonts w:ascii="Verdana" w:hAnsi="Verdana"/>
        </w:rPr>
        <w:t>……………………………</w:t>
      </w:r>
      <w:r w:rsidRPr="00ED391E">
        <w:rPr>
          <w:rFonts w:ascii="Verdana" w:hAnsi="Verdana"/>
        </w:rPr>
        <w:t>, en el término municipal de</w:t>
      </w:r>
      <w:r w:rsidR="00F34579" w:rsidRPr="00ED391E">
        <w:rPr>
          <w:rFonts w:ascii="Verdana" w:hAnsi="Verdana"/>
        </w:rPr>
        <w:t xml:space="preserve"> ………………………….</w:t>
      </w:r>
      <w:r w:rsidRPr="00ED391E">
        <w:rPr>
          <w:rFonts w:ascii="Verdana" w:hAnsi="Verdana"/>
        </w:rPr>
        <w:t xml:space="preserve">, ante este Juzgado comparezco  y como mejor proceda en derecho, </w:t>
      </w:r>
    </w:p>
    <w:p w14:paraId="002E17DB" w14:textId="77777777" w:rsidR="001E56D8" w:rsidRPr="00ED391E" w:rsidRDefault="001E56D8" w:rsidP="00ED391E">
      <w:pPr>
        <w:spacing w:line="360" w:lineRule="auto"/>
        <w:ind w:left="284" w:right="288"/>
        <w:jc w:val="both"/>
        <w:rPr>
          <w:rFonts w:ascii="Verdana" w:hAnsi="Verdana"/>
        </w:rPr>
      </w:pPr>
    </w:p>
    <w:p w14:paraId="0355E5BC" w14:textId="77777777" w:rsidR="001E56D8" w:rsidRPr="00ED391E" w:rsidRDefault="001E56D8" w:rsidP="00ED391E">
      <w:pPr>
        <w:spacing w:line="360" w:lineRule="auto"/>
        <w:ind w:left="284" w:right="288"/>
        <w:jc w:val="center"/>
        <w:rPr>
          <w:rFonts w:ascii="Verdana" w:hAnsi="Verdana"/>
          <w:b/>
        </w:rPr>
      </w:pPr>
      <w:r w:rsidRPr="00ED391E">
        <w:rPr>
          <w:rFonts w:ascii="Verdana" w:hAnsi="Verdana"/>
          <w:b/>
        </w:rPr>
        <w:t>DIGO</w:t>
      </w:r>
    </w:p>
    <w:p w14:paraId="115B011E" w14:textId="77777777" w:rsidR="001E56D8" w:rsidRPr="00ED391E" w:rsidRDefault="001E56D8" w:rsidP="00ED391E">
      <w:pPr>
        <w:spacing w:line="360" w:lineRule="auto"/>
        <w:ind w:left="284" w:right="288"/>
        <w:jc w:val="both"/>
        <w:rPr>
          <w:rFonts w:ascii="Verdana" w:hAnsi="Verdana"/>
        </w:rPr>
      </w:pPr>
    </w:p>
    <w:p w14:paraId="6B469700" w14:textId="4EFE2503" w:rsidR="001E56D8" w:rsidRPr="00ED391E" w:rsidRDefault="001E56D8" w:rsidP="00ED391E">
      <w:pPr>
        <w:spacing w:line="360" w:lineRule="auto"/>
        <w:ind w:left="284" w:right="288" w:firstLine="424"/>
        <w:jc w:val="both"/>
        <w:rPr>
          <w:rFonts w:ascii="Verdana" w:hAnsi="Verdana"/>
        </w:rPr>
      </w:pPr>
      <w:r w:rsidRPr="00ED391E">
        <w:rPr>
          <w:rFonts w:ascii="Verdana" w:hAnsi="Verdana"/>
        </w:rPr>
        <w:t xml:space="preserve">Que al amparo del Art.259 de la LEC, y  por medio del presente escrito, y entendiendo que es constitutivo de delito de prevaricación  administrativa </w:t>
      </w:r>
      <w:r w:rsidR="00F34579" w:rsidRPr="00ED391E">
        <w:rPr>
          <w:rFonts w:ascii="Verdana" w:hAnsi="Verdana"/>
        </w:rPr>
        <w:t xml:space="preserve">y detención ilegal, </w:t>
      </w:r>
      <w:r w:rsidRPr="00ED391E">
        <w:rPr>
          <w:rFonts w:ascii="Verdana" w:hAnsi="Verdana"/>
        </w:rPr>
        <w:t>regulad</w:t>
      </w:r>
      <w:r w:rsidR="00F34579" w:rsidRPr="00ED391E">
        <w:rPr>
          <w:rFonts w:ascii="Verdana" w:hAnsi="Verdana"/>
        </w:rPr>
        <w:t xml:space="preserve">os </w:t>
      </w:r>
      <w:r w:rsidRPr="00ED391E">
        <w:rPr>
          <w:rFonts w:ascii="Verdana" w:hAnsi="Verdana"/>
        </w:rPr>
        <w:t xml:space="preserve">en </w:t>
      </w:r>
      <w:r w:rsidR="00F34579" w:rsidRPr="00ED391E">
        <w:rPr>
          <w:rFonts w:ascii="Verdana" w:hAnsi="Verdana"/>
        </w:rPr>
        <w:t>los</w:t>
      </w:r>
      <w:r w:rsidRPr="00ED391E">
        <w:rPr>
          <w:rFonts w:ascii="Verdana" w:hAnsi="Verdana"/>
        </w:rPr>
        <w:t xml:space="preserve"> artículo</w:t>
      </w:r>
      <w:r w:rsidR="00F34579" w:rsidRPr="00ED391E">
        <w:rPr>
          <w:rFonts w:ascii="Verdana" w:hAnsi="Verdana"/>
        </w:rPr>
        <w:t>s</w:t>
      </w:r>
      <w:r w:rsidRPr="00ED391E">
        <w:rPr>
          <w:rFonts w:ascii="Verdana" w:hAnsi="Verdana"/>
        </w:rPr>
        <w:t xml:space="preserve"> 404 </w:t>
      </w:r>
      <w:r w:rsidR="002B73C4" w:rsidRPr="00ED391E">
        <w:rPr>
          <w:rFonts w:ascii="Verdana" w:hAnsi="Verdana"/>
        </w:rPr>
        <w:t xml:space="preserve">y </w:t>
      </w:r>
      <w:r w:rsidR="002206A6">
        <w:rPr>
          <w:rFonts w:ascii="Verdana" w:hAnsi="Verdana"/>
        </w:rPr>
        <w:t xml:space="preserve">167 </w:t>
      </w:r>
      <w:r w:rsidRPr="00ED391E">
        <w:rPr>
          <w:rFonts w:ascii="Verdana" w:hAnsi="Verdana"/>
        </w:rPr>
        <w:t xml:space="preserve">del Código Penal, formula denuncia pasando a dar cuenta al Juzgado correspondiente y contra </w:t>
      </w:r>
      <w:r w:rsidR="00F34579" w:rsidRPr="00ED391E">
        <w:rPr>
          <w:rFonts w:ascii="Verdana" w:hAnsi="Verdana"/>
        </w:rPr>
        <w:t>DOÑA CAROLINA DARIAS SAN SEBASTIÁN, Ministra de Sanidad y contra DON……</w:t>
      </w:r>
      <w:r w:rsidR="00985C70" w:rsidRPr="00ED391E">
        <w:rPr>
          <w:rFonts w:ascii="Verdana" w:hAnsi="Verdana"/>
        </w:rPr>
        <w:t>……</w:t>
      </w:r>
      <w:r w:rsidR="002B73C4" w:rsidRPr="00ED391E">
        <w:rPr>
          <w:rFonts w:ascii="Verdana" w:hAnsi="Verdana"/>
        </w:rPr>
        <w:t>…</w:t>
      </w:r>
      <w:r w:rsidR="00985C70" w:rsidRPr="00ED391E">
        <w:rPr>
          <w:rFonts w:ascii="Verdana" w:hAnsi="Verdana"/>
        </w:rPr>
        <w:t>………..</w:t>
      </w:r>
      <w:r w:rsidR="00F34579" w:rsidRPr="00ED391E">
        <w:rPr>
          <w:rFonts w:ascii="Verdana" w:hAnsi="Verdana"/>
        </w:rPr>
        <w:t>……., Presidente de la Comunidad Autónoma</w:t>
      </w:r>
      <w:r w:rsidR="002B73C4" w:rsidRPr="00ED391E">
        <w:rPr>
          <w:rFonts w:ascii="Verdana" w:hAnsi="Verdana"/>
        </w:rPr>
        <w:t xml:space="preserve"> (residencia del denunciante)</w:t>
      </w:r>
      <w:r w:rsidR="00F34579" w:rsidRPr="00ED391E">
        <w:rPr>
          <w:rFonts w:ascii="Verdana" w:hAnsi="Verdana"/>
        </w:rPr>
        <w:t>…………</w:t>
      </w:r>
      <w:r w:rsidR="00985C70" w:rsidRPr="00ED391E">
        <w:rPr>
          <w:rFonts w:ascii="Verdana" w:hAnsi="Verdana"/>
        </w:rPr>
        <w:t>………</w:t>
      </w:r>
      <w:r w:rsidR="002B73C4" w:rsidRPr="00ED391E">
        <w:rPr>
          <w:rFonts w:ascii="Verdana" w:hAnsi="Verdana"/>
        </w:rPr>
        <w:t>….</w:t>
      </w:r>
      <w:r w:rsidR="00F34579" w:rsidRPr="00ED391E">
        <w:rPr>
          <w:rFonts w:ascii="Verdana" w:hAnsi="Verdana"/>
        </w:rPr>
        <w:t xml:space="preserve">…………., así como </w:t>
      </w:r>
      <w:r w:rsidRPr="00ED391E">
        <w:rPr>
          <w:rFonts w:ascii="Verdana" w:hAnsi="Verdana"/>
        </w:rPr>
        <w:t>cual</w:t>
      </w:r>
      <w:r w:rsidR="00F34579" w:rsidRPr="00ED391E">
        <w:rPr>
          <w:rFonts w:ascii="Verdana" w:hAnsi="Verdana"/>
        </w:rPr>
        <w:t>quier</w:t>
      </w:r>
      <w:r w:rsidRPr="00ED391E">
        <w:rPr>
          <w:rFonts w:ascii="Verdana" w:hAnsi="Verdana"/>
        </w:rPr>
        <w:t xml:space="preserve"> otro que aparezca como responsable a lo largo de las investigaciones y actuaciones a practicar respecto al delito señalado y otros que pudiesen evidenciarse de los hechos descritos en esta denuncia, respecto a las siguientes personas físicas y jurídicas que a continuación se nombran a lo largo de este escrito, por los siguientes:</w:t>
      </w:r>
    </w:p>
    <w:p w14:paraId="0E1BD061" w14:textId="77777777" w:rsidR="001E56D8" w:rsidRPr="00ED391E" w:rsidRDefault="001E56D8" w:rsidP="00ED391E">
      <w:pPr>
        <w:spacing w:line="360" w:lineRule="auto"/>
        <w:ind w:left="284" w:right="288"/>
        <w:jc w:val="both"/>
        <w:rPr>
          <w:rFonts w:ascii="Verdana" w:hAnsi="Verdana"/>
        </w:rPr>
      </w:pPr>
    </w:p>
    <w:p w14:paraId="5C15CE5C" w14:textId="77777777" w:rsidR="001E56D8" w:rsidRPr="00ED391E" w:rsidRDefault="001E56D8" w:rsidP="00ED391E">
      <w:pPr>
        <w:spacing w:line="360" w:lineRule="auto"/>
        <w:ind w:left="284" w:right="288"/>
        <w:jc w:val="center"/>
        <w:rPr>
          <w:rFonts w:ascii="Verdana" w:hAnsi="Verdana"/>
          <w:b/>
        </w:rPr>
      </w:pPr>
      <w:r w:rsidRPr="00ED391E">
        <w:rPr>
          <w:rFonts w:ascii="Verdana" w:hAnsi="Verdana"/>
          <w:b/>
        </w:rPr>
        <w:t>HECHOS</w:t>
      </w:r>
    </w:p>
    <w:p w14:paraId="4B9A974F" w14:textId="77777777" w:rsidR="001E56D8" w:rsidRPr="00ED391E" w:rsidRDefault="001E56D8" w:rsidP="00ED391E">
      <w:pPr>
        <w:spacing w:line="360" w:lineRule="auto"/>
        <w:ind w:left="284" w:right="288"/>
        <w:jc w:val="both"/>
        <w:rPr>
          <w:rFonts w:ascii="Verdana" w:hAnsi="Verdana"/>
        </w:rPr>
      </w:pPr>
    </w:p>
    <w:p w14:paraId="1A3D2FDA" w14:textId="33844AC4" w:rsidR="00F34579" w:rsidRPr="00ED391E" w:rsidRDefault="001E56D8" w:rsidP="00ED391E">
      <w:pPr>
        <w:spacing w:line="360" w:lineRule="auto"/>
        <w:ind w:left="284" w:right="288" w:firstLine="424"/>
        <w:jc w:val="both"/>
        <w:rPr>
          <w:rFonts w:ascii="Verdana" w:hAnsi="Verdana"/>
          <w:b/>
          <w:bCs/>
        </w:rPr>
      </w:pPr>
      <w:r w:rsidRPr="00ED391E">
        <w:rPr>
          <w:rFonts w:ascii="Verdana" w:hAnsi="Verdana"/>
          <w:b/>
          <w:bCs/>
        </w:rPr>
        <w:t xml:space="preserve">PRIMERO.- </w:t>
      </w:r>
      <w:r w:rsidR="00F34579" w:rsidRPr="00ED391E">
        <w:rPr>
          <w:rFonts w:ascii="Verdana" w:hAnsi="Verdana"/>
        </w:rPr>
        <w:t>Que</w:t>
      </w:r>
      <w:r w:rsidR="00F34579" w:rsidRPr="00ED391E">
        <w:rPr>
          <w:rFonts w:ascii="Verdana" w:hAnsi="Verdana"/>
          <w:b/>
          <w:bCs/>
        </w:rPr>
        <w:t xml:space="preserve"> </w:t>
      </w:r>
      <w:r w:rsidR="00F34579" w:rsidRPr="00ED391E">
        <w:rPr>
          <w:rFonts w:ascii="Verdana" w:hAnsi="Verdana"/>
        </w:rPr>
        <w:t>el Pleno del Consejo Interterritorial del Sistema Nacional de Salud, en su reunión de 10 de marzo de 2021, ha aprobado el Acuerdo del Consejo Interterritorial del Sistema Nacional de Salud sobre la Declaración de Actuaciones Coordinadas en salud pública frente a la COVID-19 con motivo de la festividad de San José y de la Semana Santa de 2021.</w:t>
      </w:r>
    </w:p>
    <w:p w14:paraId="0CFF48E9" w14:textId="77777777" w:rsidR="00F34579" w:rsidRPr="00ED391E" w:rsidRDefault="00F34579" w:rsidP="00ED391E">
      <w:pPr>
        <w:spacing w:line="360" w:lineRule="auto"/>
        <w:ind w:left="284" w:right="288" w:firstLine="424"/>
        <w:jc w:val="both"/>
        <w:rPr>
          <w:rFonts w:ascii="Verdana" w:hAnsi="Verdana"/>
          <w:b/>
          <w:bCs/>
        </w:rPr>
      </w:pPr>
    </w:p>
    <w:p w14:paraId="0E30E86D" w14:textId="7FA4900C" w:rsidR="002B73C4" w:rsidRPr="00ED391E" w:rsidRDefault="002B73C4" w:rsidP="00ED391E">
      <w:pPr>
        <w:pStyle w:val="parrafo"/>
        <w:spacing w:line="360" w:lineRule="auto"/>
        <w:ind w:left="284" w:right="288" w:firstLine="424"/>
        <w:jc w:val="both"/>
        <w:rPr>
          <w:rFonts w:ascii="Verdana" w:hAnsi="Verdana"/>
          <w:i/>
          <w:iCs/>
        </w:rPr>
      </w:pPr>
      <w:r w:rsidRPr="00ED391E">
        <w:rPr>
          <w:rFonts w:ascii="Verdana" w:hAnsi="Verdana"/>
          <w:b/>
          <w:bCs/>
        </w:rPr>
        <w:t xml:space="preserve">SEGUNDO.- </w:t>
      </w:r>
      <w:r w:rsidRPr="00ED391E">
        <w:rPr>
          <w:rFonts w:ascii="Verdana" w:hAnsi="Verdana"/>
        </w:rPr>
        <w:t xml:space="preserve">Que en el punto primero del referido acuerdo se recoge lo siguiente: </w:t>
      </w:r>
      <w:r w:rsidRPr="00ED391E">
        <w:rPr>
          <w:rFonts w:ascii="Verdana" w:hAnsi="Verdana"/>
          <w:i/>
          <w:iCs/>
        </w:rPr>
        <w:t>”Que sean declaradas como actuaciones coordinadas en salud pública frente a la COVID-19, durante el periodo comprendido entre el 17 y el 21 de marzo de 2021 en aquellos territorios en los que sea festivo el día 19 de marzo; y desde el 26 de marzo al 9 de abril de 2021, en todo el territorio las siguientes:</w:t>
      </w:r>
    </w:p>
    <w:p w14:paraId="05514DDC" w14:textId="77777777" w:rsidR="002B73C4" w:rsidRPr="00ED391E" w:rsidRDefault="002B73C4" w:rsidP="00ED391E">
      <w:pPr>
        <w:pStyle w:val="parrafo2"/>
        <w:spacing w:line="360" w:lineRule="auto"/>
        <w:ind w:left="284" w:right="288" w:firstLine="424"/>
        <w:jc w:val="both"/>
        <w:rPr>
          <w:rFonts w:ascii="Verdana" w:hAnsi="Verdana"/>
          <w:i/>
          <w:iCs/>
        </w:rPr>
      </w:pPr>
      <w:r w:rsidRPr="00ED391E">
        <w:rPr>
          <w:rFonts w:ascii="Verdana" w:hAnsi="Verdana"/>
          <w:i/>
          <w:iCs/>
        </w:rPr>
        <w:t>1.</w:t>
      </w:r>
      <w:r w:rsidRPr="00ED391E">
        <w:rPr>
          <w:rFonts w:ascii="Verdana" w:hAnsi="Verdana"/>
          <w:i/>
          <w:iCs/>
        </w:rPr>
        <w:t> </w:t>
      </w:r>
      <w:r w:rsidRPr="00ED391E">
        <w:rPr>
          <w:rFonts w:ascii="Verdana" w:hAnsi="Verdana"/>
          <w:i/>
          <w:iCs/>
        </w:rPr>
        <w:t>Medidas de obligado cumplimiento.</w:t>
      </w:r>
    </w:p>
    <w:p w14:paraId="1B249424" w14:textId="77777777" w:rsidR="002B73C4" w:rsidRPr="00ED391E" w:rsidRDefault="002B73C4" w:rsidP="00ED391E">
      <w:pPr>
        <w:pStyle w:val="parrafo2"/>
        <w:spacing w:line="360" w:lineRule="auto"/>
        <w:ind w:left="284" w:right="288" w:firstLine="424"/>
        <w:jc w:val="both"/>
        <w:rPr>
          <w:rFonts w:ascii="Verdana" w:hAnsi="Verdana"/>
          <w:i/>
          <w:iCs/>
        </w:rPr>
      </w:pPr>
      <w:r w:rsidRPr="00ED391E">
        <w:rPr>
          <w:rFonts w:ascii="Verdana" w:hAnsi="Verdana"/>
          <w:i/>
          <w:iCs/>
        </w:rPr>
        <w:t>1.1</w:t>
      </w:r>
      <w:r w:rsidRPr="00ED391E">
        <w:rPr>
          <w:rFonts w:ascii="Verdana" w:hAnsi="Verdana"/>
          <w:i/>
          <w:iCs/>
        </w:rPr>
        <w:t> </w:t>
      </w:r>
      <w:r w:rsidRPr="00ED391E">
        <w:rPr>
          <w:rFonts w:ascii="Verdana" w:hAnsi="Verdana"/>
          <w:i/>
          <w:iCs/>
        </w:rPr>
        <w:t>Limitación de la movilidad territorial. La movilidad estará limitada por el cierre perimetral de todas las comunidades y ciudades autónomas y sujeta a las excepciones reguladas en el artículo 6 del Real Decreto 926/2020, de 25 de octubre.</w:t>
      </w:r>
    </w:p>
    <w:p w14:paraId="6553EACA" w14:textId="77777777" w:rsidR="002B73C4" w:rsidRPr="00ED391E" w:rsidRDefault="002B73C4" w:rsidP="00ED391E">
      <w:pPr>
        <w:pStyle w:val="parrafo"/>
        <w:spacing w:line="360" w:lineRule="auto"/>
        <w:ind w:left="284" w:right="288" w:firstLine="424"/>
        <w:jc w:val="both"/>
        <w:rPr>
          <w:rFonts w:ascii="Verdana" w:hAnsi="Verdana"/>
          <w:i/>
          <w:iCs/>
        </w:rPr>
      </w:pPr>
      <w:r w:rsidRPr="00ED391E">
        <w:rPr>
          <w:rFonts w:ascii="Verdana" w:hAnsi="Verdana"/>
          <w:i/>
          <w:iCs/>
        </w:rPr>
        <w:t>Lo anterior no será de aplicación a las comunidades autónomas de Islas Canarias e Islas Baleares. La entrada en sus territorios se limitará a los supuestos establecidos en el Real Decreto 926/2020, de 25 de octubre.</w:t>
      </w:r>
    </w:p>
    <w:p w14:paraId="5F632CAF" w14:textId="77777777" w:rsidR="002B73C4" w:rsidRPr="00ED391E" w:rsidRDefault="002B73C4" w:rsidP="00ED391E">
      <w:pPr>
        <w:pStyle w:val="parrafo"/>
        <w:spacing w:line="360" w:lineRule="auto"/>
        <w:ind w:left="284" w:right="288" w:firstLine="424"/>
        <w:jc w:val="both"/>
        <w:rPr>
          <w:rFonts w:ascii="Verdana" w:hAnsi="Verdana"/>
          <w:i/>
          <w:iCs/>
        </w:rPr>
      </w:pPr>
      <w:r w:rsidRPr="00ED391E">
        <w:rPr>
          <w:rFonts w:ascii="Verdana" w:hAnsi="Verdana"/>
          <w:i/>
          <w:iCs/>
        </w:rPr>
        <w:t>1.2</w:t>
      </w:r>
      <w:r w:rsidRPr="00ED391E">
        <w:rPr>
          <w:rFonts w:ascii="Verdana" w:hAnsi="Verdana"/>
          <w:i/>
          <w:iCs/>
        </w:rPr>
        <w:t> </w:t>
      </w:r>
      <w:r w:rsidRPr="00ED391E">
        <w:rPr>
          <w:rFonts w:ascii="Verdana" w:hAnsi="Verdana"/>
          <w:i/>
          <w:iCs/>
        </w:rPr>
        <w:t>Limitación de movilidad en horario nocturno. Se limitará el derecho de movilidad nocturna como máximo a partir de las 23:00 horas y hasta las 6:00 horas.</w:t>
      </w:r>
    </w:p>
    <w:p w14:paraId="7AB62597" w14:textId="77777777" w:rsidR="002B73C4" w:rsidRPr="00ED391E" w:rsidRDefault="002B73C4" w:rsidP="00ED391E">
      <w:pPr>
        <w:pStyle w:val="parrafo"/>
        <w:spacing w:line="360" w:lineRule="auto"/>
        <w:ind w:left="284" w:right="288" w:firstLine="424"/>
        <w:jc w:val="both"/>
        <w:rPr>
          <w:rFonts w:ascii="Verdana" w:hAnsi="Verdana"/>
          <w:i/>
          <w:iCs/>
        </w:rPr>
      </w:pPr>
      <w:r w:rsidRPr="00ED391E">
        <w:rPr>
          <w:rFonts w:ascii="Verdana" w:hAnsi="Verdana"/>
          <w:i/>
          <w:iCs/>
        </w:rPr>
        <w:t>1.3</w:t>
      </w:r>
      <w:r w:rsidRPr="00ED391E">
        <w:rPr>
          <w:rFonts w:ascii="Verdana" w:hAnsi="Verdana"/>
          <w:i/>
          <w:iCs/>
        </w:rPr>
        <w:t> </w:t>
      </w:r>
      <w:r w:rsidRPr="00ED391E">
        <w:rPr>
          <w:rFonts w:ascii="Verdana" w:hAnsi="Verdana"/>
          <w:i/>
          <w:iCs/>
        </w:rPr>
        <w:t>Limitación de la permanencia de grupos de personas en los espacios públicos o privados. Se limitará la permanencia de grupos de personas a un máximo de cuatro en espacios públicos cerrados y seis en espacios públicos abiertos, salvo que se trate de convivientes. En espacios privados las reuniones se limitarán a convivientes.</w:t>
      </w:r>
    </w:p>
    <w:p w14:paraId="4915E910" w14:textId="4CFAD87B" w:rsidR="002B73C4" w:rsidRPr="00ED391E" w:rsidRDefault="002B73C4" w:rsidP="00ED391E">
      <w:pPr>
        <w:pStyle w:val="parrafo"/>
        <w:spacing w:line="360" w:lineRule="auto"/>
        <w:ind w:left="284" w:right="288" w:firstLine="424"/>
        <w:jc w:val="both"/>
        <w:rPr>
          <w:rFonts w:ascii="Verdana" w:hAnsi="Verdana"/>
          <w:i/>
          <w:iCs/>
        </w:rPr>
      </w:pPr>
      <w:r w:rsidRPr="00ED391E">
        <w:rPr>
          <w:rFonts w:ascii="Verdana" w:hAnsi="Verdana"/>
          <w:i/>
          <w:iCs/>
        </w:rPr>
        <w:t xml:space="preserve">Aquellas comunidades y ciudades autónomas que se rijan por medidas más restrictivas que las contempladas en el apartado primero.1 de este acuerdo, serán quienes decidan la conveniencia o no de flexibilizarlas, teniendo en cuenta que ello supondría una modificación de los hábitos </w:t>
      </w:r>
      <w:r w:rsidRPr="00ED391E">
        <w:rPr>
          <w:rFonts w:ascii="Verdana" w:hAnsi="Verdana"/>
          <w:i/>
          <w:iCs/>
        </w:rPr>
        <w:lastRenderedPageBreak/>
        <w:t>establecidos hasta ahora y que están siendo cumplidos por la ciudadanía”.</w:t>
      </w:r>
    </w:p>
    <w:p w14:paraId="0579B261" w14:textId="77777777" w:rsidR="007130BD" w:rsidRPr="00ED391E" w:rsidRDefault="002B73C4" w:rsidP="00ED391E">
      <w:pPr>
        <w:pStyle w:val="NormalWeb"/>
        <w:spacing w:line="360" w:lineRule="auto"/>
        <w:ind w:left="284" w:right="288" w:firstLine="424"/>
        <w:jc w:val="both"/>
        <w:rPr>
          <w:rFonts w:ascii="Verdana" w:hAnsi="Verdana"/>
          <w:i/>
          <w:iCs/>
        </w:rPr>
      </w:pPr>
      <w:r w:rsidRPr="00ED391E">
        <w:rPr>
          <w:rFonts w:ascii="Verdana" w:hAnsi="Verdana"/>
          <w:b/>
          <w:bCs/>
        </w:rPr>
        <w:t>TERCERO.-</w:t>
      </w:r>
      <w:r w:rsidRPr="00ED391E">
        <w:rPr>
          <w:rFonts w:ascii="Verdana" w:hAnsi="Verdana"/>
        </w:rPr>
        <w:t xml:space="preserve">  Que según lo previsto en el</w:t>
      </w:r>
      <w:r w:rsidR="007130BD" w:rsidRPr="00ED391E">
        <w:rPr>
          <w:rFonts w:ascii="Verdana" w:hAnsi="Verdana"/>
        </w:rPr>
        <w:t xml:space="preserve"> art. 19 de la CE: </w:t>
      </w:r>
      <w:r w:rsidR="007130BD" w:rsidRPr="00ED391E">
        <w:rPr>
          <w:rFonts w:ascii="Verdana" w:hAnsi="Verdana"/>
          <w:i/>
          <w:iCs/>
        </w:rPr>
        <w:t>“Los españoles tienen derecho a elegir libremente su residencia y a circular por el territorio nacional.</w:t>
      </w:r>
    </w:p>
    <w:p w14:paraId="724F9E77" w14:textId="60646AA3" w:rsidR="007130BD" w:rsidRPr="00ED391E" w:rsidRDefault="007130BD" w:rsidP="00ED391E">
      <w:pPr>
        <w:pStyle w:val="NormalWeb"/>
        <w:spacing w:line="360" w:lineRule="auto"/>
        <w:ind w:left="284" w:right="288"/>
        <w:jc w:val="both"/>
        <w:rPr>
          <w:rFonts w:ascii="Verdana" w:hAnsi="Verdana"/>
          <w:i/>
          <w:iCs/>
        </w:rPr>
      </w:pPr>
      <w:r w:rsidRPr="007130BD">
        <w:rPr>
          <w:rFonts w:ascii="Verdana" w:hAnsi="Verdana"/>
          <w:i/>
          <w:iCs/>
        </w:rPr>
        <w:t>Asimismo, tienen derecho a entrar y salir libremente de España en los términos que la ley establezca. Este derecho no podrá ser limitado por motivos políticos o ideológicos</w:t>
      </w:r>
      <w:r w:rsidRPr="00ED391E">
        <w:rPr>
          <w:rFonts w:ascii="Verdana" w:hAnsi="Verdana"/>
          <w:i/>
          <w:iCs/>
        </w:rPr>
        <w:t xml:space="preserve">”. </w:t>
      </w:r>
    </w:p>
    <w:p w14:paraId="7109E633" w14:textId="77777777" w:rsidR="007130BD" w:rsidRPr="00ED391E" w:rsidRDefault="007130BD" w:rsidP="00ED391E">
      <w:pPr>
        <w:pStyle w:val="NormalWeb"/>
        <w:spacing w:line="360" w:lineRule="auto"/>
        <w:ind w:left="284" w:right="288"/>
        <w:jc w:val="both"/>
        <w:rPr>
          <w:rFonts w:ascii="Verdana" w:hAnsi="Verdana"/>
        </w:rPr>
      </w:pPr>
    </w:p>
    <w:p w14:paraId="1C82671A" w14:textId="173209E9" w:rsidR="002B73C4" w:rsidRPr="00ED391E" w:rsidRDefault="007130BD" w:rsidP="00ED391E">
      <w:pPr>
        <w:pStyle w:val="NormalWeb"/>
        <w:spacing w:line="360" w:lineRule="auto"/>
        <w:ind w:left="284" w:right="288" w:firstLine="424"/>
        <w:jc w:val="both"/>
        <w:rPr>
          <w:rFonts w:ascii="Verdana" w:hAnsi="Verdana"/>
        </w:rPr>
      </w:pPr>
      <w:r w:rsidRPr="00ED391E">
        <w:rPr>
          <w:rFonts w:ascii="Verdana" w:hAnsi="Verdana"/>
        </w:rPr>
        <w:t>Por otro lado, el a</w:t>
      </w:r>
      <w:r w:rsidR="002B73C4" w:rsidRPr="00ED391E">
        <w:rPr>
          <w:rFonts w:ascii="Verdana" w:hAnsi="Verdana"/>
        </w:rPr>
        <w:t>rt.55 de la CE: “</w:t>
      </w:r>
      <w:r w:rsidR="002B73C4" w:rsidRPr="00ED391E">
        <w:rPr>
          <w:rFonts w:ascii="Verdana" w:hAnsi="Verdana"/>
          <w:i/>
          <w:iCs/>
        </w:rPr>
        <w:t xml:space="preserve">Los derechos reconocidos en los artículos 17, 18, apartados 2 y 3, artículos 19, 20, apartados 1, a) y d), y 5, artículos 21, 28, apartado 2, y artículo 37, apartado 2, </w:t>
      </w:r>
      <w:r w:rsidR="002B73C4" w:rsidRPr="00ED391E">
        <w:rPr>
          <w:rFonts w:ascii="Verdana" w:hAnsi="Verdana"/>
          <w:b/>
          <w:bCs/>
          <w:i/>
          <w:iCs/>
          <w:u w:val="single"/>
        </w:rPr>
        <w:t>podrán ser suspendidos cuando se acuerde la declaración del estado de excepción o de sitio en los términos previstos en la Constitución</w:t>
      </w:r>
      <w:r w:rsidR="002B73C4" w:rsidRPr="00ED391E">
        <w:rPr>
          <w:rFonts w:ascii="Verdana" w:hAnsi="Verdana"/>
          <w:i/>
          <w:iCs/>
        </w:rPr>
        <w:t>. Se exceptúa de lo establecido anteriormente el apartado 3 del artículo 17 para el supuesto de declaración de estado de excepción.</w:t>
      </w:r>
    </w:p>
    <w:p w14:paraId="7201BE14" w14:textId="2224811C" w:rsidR="00F34579" w:rsidRPr="00ED391E" w:rsidRDefault="002B73C4" w:rsidP="00ED391E">
      <w:pPr>
        <w:spacing w:before="100" w:beforeAutospacing="1" w:after="100" w:afterAutospacing="1" w:line="360" w:lineRule="auto"/>
        <w:ind w:left="284" w:right="288" w:firstLine="424"/>
        <w:jc w:val="both"/>
        <w:rPr>
          <w:rFonts w:ascii="Verdana" w:hAnsi="Verdana"/>
          <w:i/>
          <w:iCs/>
        </w:rPr>
      </w:pPr>
      <w:r w:rsidRPr="002B73C4">
        <w:rPr>
          <w:rFonts w:ascii="Verdana" w:hAnsi="Verdana"/>
          <w:b/>
          <w:bCs/>
          <w:i/>
          <w:iCs/>
        </w:rPr>
        <w:t xml:space="preserve">2. </w:t>
      </w:r>
      <w:r w:rsidRPr="002B73C4">
        <w:rPr>
          <w:rFonts w:ascii="Verdana" w:hAnsi="Verdana"/>
          <w:b/>
          <w:bCs/>
          <w:i/>
          <w:iCs/>
          <w:u w:val="single"/>
        </w:rPr>
        <w:t>Una ley orgánica podrá determinar la forma y los casos en los que, de forma individual</w:t>
      </w:r>
      <w:r w:rsidRPr="002B73C4">
        <w:rPr>
          <w:rFonts w:ascii="Verdana" w:hAnsi="Verdana"/>
          <w:i/>
          <w:iCs/>
        </w:rPr>
        <w:t xml:space="preserve"> y con la necesaria intervención judicial y el adecuado control parlamentario, los derechos reconocidos en los artículos 17, apartado 2, y 18, apartados 2 y 3, pueden ser suspendidos para personas determinadas, en relación con las investigaciones correspondientes a la actuación de bandas armadas o elementos terroristas</w:t>
      </w:r>
      <w:r w:rsidR="007130BD" w:rsidRPr="00ED391E">
        <w:rPr>
          <w:rFonts w:ascii="Verdana" w:hAnsi="Verdana"/>
          <w:i/>
          <w:iCs/>
        </w:rPr>
        <w:t>”</w:t>
      </w:r>
      <w:r w:rsidRPr="002B73C4">
        <w:rPr>
          <w:rFonts w:ascii="Verdana" w:hAnsi="Verdana"/>
          <w:i/>
          <w:iCs/>
        </w:rPr>
        <w:t>.</w:t>
      </w:r>
    </w:p>
    <w:p w14:paraId="42BE35C3" w14:textId="3EB1FB1A" w:rsidR="007130BD" w:rsidRPr="00ED391E" w:rsidRDefault="007130BD" w:rsidP="00ED391E">
      <w:pPr>
        <w:pStyle w:val="parrafo2"/>
        <w:spacing w:line="360" w:lineRule="auto"/>
        <w:ind w:left="284" w:right="288" w:firstLine="424"/>
        <w:jc w:val="both"/>
        <w:rPr>
          <w:rFonts w:ascii="Verdana" w:hAnsi="Verdana"/>
          <w:i/>
          <w:iCs/>
        </w:rPr>
      </w:pPr>
      <w:r w:rsidRPr="00ED391E">
        <w:rPr>
          <w:rFonts w:ascii="Verdana" w:hAnsi="Verdana"/>
          <w:b/>
          <w:bCs/>
        </w:rPr>
        <w:t xml:space="preserve">CUARTO.- </w:t>
      </w:r>
      <w:r w:rsidRPr="00ED391E">
        <w:rPr>
          <w:rFonts w:ascii="Verdana" w:hAnsi="Verdana"/>
        </w:rPr>
        <w:t xml:space="preserve">Que a día de hoy no ha sido declarado el estado de excepción ni sitio en España, ni ha sido aprobada ley orgánica alguna que regule la suspensión del </w:t>
      </w:r>
      <w:r w:rsidR="00ED391E">
        <w:rPr>
          <w:rFonts w:ascii="Verdana" w:hAnsi="Verdana"/>
        </w:rPr>
        <w:t>derecho fundamental a</w:t>
      </w:r>
      <w:r w:rsidRPr="00ED391E">
        <w:rPr>
          <w:rFonts w:ascii="Verdana" w:hAnsi="Verdana"/>
        </w:rPr>
        <w:t xml:space="preserve"> la libre circulación, por lo que </w:t>
      </w:r>
      <w:r w:rsidRPr="00ED391E">
        <w:rPr>
          <w:rFonts w:ascii="Verdana" w:hAnsi="Verdana"/>
          <w:u w:val="single"/>
        </w:rPr>
        <w:t>el Real Decreto 926/2020, de 25 de octubre por el que se aprueba el estado de alarma, no ampara el acuerdo de cierre perimetral de las respectivas CCAA aprobado por el  Pleno del Consejo Interterritorial del Sistema Nacional de Salud, en su reunión de 10 de marzo de 2021</w:t>
      </w:r>
      <w:r w:rsidRPr="00ED391E">
        <w:rPr>
          <w:rFonts w:ascii="Verdana" w:hAnsi="Verdana"/>
        </w:rPr>
        <w:t>.</w:t>
      </w:r>
    </w:p>
    <w:p w14:paraId="49C8D187" w14:textId="77777777" w:rsidR="00F34579" w:rsidRPr="00ED391E" w:rsidRDefault="00F34579" w:rsidP="00ED391E">
      <w:pPr>
        <w:spacing w:line="360" w:lineRule="auto"/>
        <w:ind w:left="284" w:right="288" w:firstLine="424"/>
        <w:jc w:val="both"/>
        <w:rPr>
          <w:rFonts w:ascii="Verdana" w:hAnsi="Verdana"/>
          <w:b/>
          <w:bCs/>
        </w:rPr>
      </w:pPr>
    </w:p>
    <w:p w14:paraId="526DB038" w14:textId="77777777" w:rsidR="00F34579" w:rsidRPr="00ED391E" w:rsidRDefault="00F34579" w:rsidP="00ED391E">
      <w:pPr>
        <w:spacing w:line="360" w:lineRule="auto"/>
        <w:ind w:left="284" w:right="288"/>
        <w:jc w:val="both"/>
        <w:rPr>
          <w:rFonts w:ascii="Verdana" w:hAnsi="Verdana"/>
          <w:b/>
        </w:rPr>
      </w:pPr>
    </w:p>
    <w:p w14:paraId="07330B49" w14:textId="77777777" w:rsidR="001E56D8" w:rsidRPr="00ED391E" w:rsidRDefault="001E56D8" w:rsidP="00ED391E">
      <w:pPr>
        <w:spacing w:line="360" w:lineRule="auto"/>
        <w:ind w:left="284" w:right="288"/>
        <w:jc w:val="center"/>
        <w:rPr>
          <w:rFonts w:ascii="Verdana" w:hAnsi="Verdana"/>
          <w:b/>
        </w:rPr>
      </w:pPr>
      <w:r w:rsidRPr="00ED391E">
        <w:rPr>
          <w:rFonts w:ascii="Verdana" w:hAnsi="Verdana"/>
          <w:b/>
        </w:rPr>
        <w:t>FUNDAMENTOS DE DERECHO</w:t>
      </w:r>
    </w:p>
    <w:p w14:paraId="4C44B43A" w14:textId="77777777" w:rsidR="001E56D8" w:rsidRPr="00ED391E" w:rsidRDefault="001E56D8" w:rsidP="00ED391E">
      <w:pPr>
        <w:spacing w:line="360" w:lineRule="auto"/>
        <w:ind w:left="284" w:right="288"/>
        <w:jc w:val="both"/>
        <w:rPr>
          <w:rFonts w:ascii="Verdana" w:hAnsi="Verdana"/>
          <w:b/>
        </w:rPr>
      </w:pPr>
    </w:p>
    <w:p w14:paraId="02C30491" w14:textId="77777777" w:rsidR="001E56D8" w:rsidRPr="00ED391E" w:rsidRDefault="001E56D8" w:rsidP="00ED391E">
      <w:pPr>
        <w:spacing w:line="360" w:lineRule="auto"/>
        <w:ind w:left="284" w:right="288"/>
        <w:jc w:val="both"/>
        <w:rPr>
          <w:rFonts w:ascii="Verdana" w:hAnsi="Verdana"/>
        </w:rPr>
      </w:pPr>
    </w:p>
    <w:p w14:paraId="0E92ECF2" w14:textId="13649DB2" w:rsidR="001E56D8" w:rsidRPr="00ED391E" w:rsidRDefault="001E56D8" w:rsidP="00ED391E">
      <w:pPr>
        <w:pStyle w:val="NormalWeb"/>
        <w:spacing w:line="360" w:lineRule="auto"/>
        <w:ind w:left="284" w:right="288" w:firstLine="424"/>
        <w:jc w:val="both"/>
        <w:rPr>
          <w:rFonts w:ascii="Verdana" w:hAnsi="Verdana" w:cstheme="minorHAnsi"/>
          <w:b/>
          <w:bCs/>
        </w:rPr>
      </w:pPr>
      <w:r w:rsidRPr="00ED391E">
        <w:rPr>
          <w:rFonts w:ascii="Verdana" w:hAnsi="Verdana"/>
          <w:b/>
          <w:bCs/>
        </w:rPr>
        <w:t>I.-</w:t>
      </w:r>
      <w:r w:rsidRPr="00ED391E">
        <w:rPr>
          <w:rFonts w:ascii="Verdana" w:hAnsi="Verdana" w:cstheme="minorHAnsi"/>
          <w:b/>
          <w:bCs/>
        </w:rPr>
        <w:t xml:space="preserve"> </w:t>
      </w:r>
      <w:r w:rsidR="007130BD" w:rsidRPr="00ED391E">
        <w:rPr>
          <w:rFonts w:ascii="Verdana" w:hAnsi="Verdana" w:cstheme="minorHAnsi"/>
          <w:b/>
          <w:bCs/>
        </w:rPr>
        <w:t xml:space="preserve">Arts. 19 y 55 de la CE. </w:t>
      </w:r>
    </w:p>
    <w:p w14:paraId="748E4700" w14:textId="77777777" w:rsidR="007130BD" w:rsidRPr="00ED391E" w:rsidRDefault="007130BD" w:rsidP="00ED391E">
      <w:pPr>
        <w:spacing w:line="360" w:lineRule="auto"/>
        <w:ind w:left="284" w:right="288" w:firstLine="424"/>
        <w:jc w:val="both"/>
        <w:rPr>
          <w:rFonts w:ascii="Verdana" w:hAnsi="Verdana"/>
        </w:rPr>
      </w:pPr>
    </w:p>
    <w:p w14:paraId="348739AA" w14:textId="30972901" w:rsidR="001E56D8" w:rsidRPr="00ED391E" w:rsidRDefault="001E56D8" w:rsidP="00ED391E">
      <w:pPr>
        <w:spacing w:line="360" w:lineRule="auto"/>
        <w:ind w:left="284" w:right="288" w:firstLine="424"/>
        <w:jc w:val="both"/>
        <w:rPr>
          <w:rFonts w:ascii="Verdana" w:hAnsi="Verdana"/>
        </w:rPr>
      </w:pPr>
      <w:r w:rsidRPr="00ED391E">
        <w:rPr>
          <w:rFonts w:ascii="Verdana" w:hAnsi="Verdana"/>
          <w:b/>
          <w:bCs/>
        </w:rPr>
        <w:t>II.- Art</w:t>
      </w:r>
      <w:r w:rsidR="009510EE" w:rsidRPr="00ED391E">
        <w:rPr>
          <w:rFonts w:ascii="Verdana" w:hAnsi="Verdana"/>
          <w:b/>
          <w:bCs/>
        </w:rPr>
        <w:t>,</w:t>
      </w:r>
      <w:r w:rsidRPr="00ED391E">
        <w:rPr>
          <w:rFonts w:ascii="Verdana" w:hAnsi="Verdana"/>
          <w:b/>
          <w:bCs/>
        </w:rPr>
        <w:t xml:space="preserve"> 404 del C</w:t>
      </w:r>
      <w:r w:rsidR="009510EE" w:rsidRPr="00ED391E">
        <w:rPr>
          <w:rFonts w:ascii="Verdana" w:hAnsi="Verdana"/>
          <w:b/>
          <w:bCs/>
        </w:rPr>
        <w:t>P</w:t>
      </w:r>
      <w:r w:rsidRPr="00ED391E">
        <w:rPr>
          <w:rFonts w:ascii="Verdana" w:hAnsi="Verdana"/>
          <w:b/>
          <w:bCs/>
        </w:rPr>
        <w:t xml:space="preserve">.  </w:t>
      </w:r>
      <w:r w:rsidRPr="00ED391E">
        <w:rPr>
          <w:rFonts w:ascii="Verdana" w:hAnsi="Verdana"/>
        </w:rPr>
        <w:t>A la autoridad o funcionario público que, a sabiendas de su injusticia, dictare una resolución arbitraria en un asunto administrativo se le castigará con la pena de inhabilitación especial para empleo o cargo público por tiempo de siete a diez años.</w:t>
      </w:r>
    </w:p>
    <w:p w14:paraId="38BD74F9" w14:textId="573D48D3" w:rsidR="007130BD" w:rsidRPr="00ED391E" w:rsidRDefault="007130BD" w:rsidP="00ED391E">
      <w:pPr>
        <w:spacing w:line="360" w:lineRule="auto"/>
        <w:ind w:left="284" w:right="288" w:firstLine="424"/>
        <w:jc w:val="both"/>
        <w:rPr>
          <w:rFonts w:ascii="Verdana" w:hAnsi="Verdana"/>
          <w:b/>
          <w:bCs/>
        </w:rPr>
      </w:pPr>
    </w:p>
    <w:p w14:paraId="601A27D0" w14:textId="5D39696B" w:rsidR="007130BD" w:rsidRPr="00ED391E" w:rsidRDefault="007130BD" w:rsidP="00ED391E">
      <w:pPr>
        <w:spacing w:line="360" w:lineRule="auto"/>
        <w:ind w:left="284" w:right="288" w:firstLine="424"/>
        <w:jc w:val="both"/>
        <w:rPr>
          <w:rFonts w:ascii="Verdana" w:hAnsi="Verdana"/>
          <w:b/>
          <w:bCs/>
        </w:rPr>
      </w:pPr>
      <w:r w:rsidRPr="00ED391E">
        <w:rPr>
          <w:rFonts w:ascii="Verdana" w:hAnsi="Verdana"/>
          <w:b/>
          <w:bCs/>
        </w:rPr>
        <w:t xml:space="preserve">III.- </w:t>
      </w:r>
      <w:r w:rsidR="009510EE" w:rsidRPr="00ED391E">
        <w:rPr>
          <w:rFonts w:ascii="Verdana" w:hAnsi="Verdana"/>
          <w:b/>
          <w:bCs/>
        </w:rPr>
        <w:t xml:space="preserve">Art.167 del CP. </w:t>
      </w:r>
      <w:r w:rsidR="009510EE" w:rsidRPr="00ED391E">
        <w:rPr>
          <w:rFonts w:ascii="Verdana" w:hAnsi="Verdana"/>
        </w:rPr>
        <w:t>La autoridad o funcionario público que, fuera de los casos permitidos por la ley, y sin mediar causa por delito, cometiere alguno de los hechos descritos en este Capítulo será castigado con las penas respectivamente previstas en éstos, en su mitad superior, pudiéndose llegar hasta la superior en grado.</w:t>
      </w:r>
    </w:p>
    <w:p w14:paraId="7DBD2B77" w14:textId="4062E0C9" w:rsidR="009510EE" w:rsidRPr="009510EE" w:rsidRDefault="009510EE" w:rsidP="00ED391E">
      <w:pPr>
        <w:spacing w:before="100" w:beforeAutospacing="1" w:after="100" w:afterAutospacing="1" w:line="360" w:lineRule="auto"/>
        <w:ind w:left="284" w:right="288" w:firstLine="708"/>
        <w:jc w:val="both"/>
        <w:rPr>
          <w:rFonts w:ascii="Verdana" w:hAnsi="Verdana"/>
          <w:b/>
          <w:bCs/>
          <w:u w:val="single"/>
        </w:rPr>
      </w:pPr>
      <w:r w:rsidRPr="009510EE">
        <w:rPr>
          <w:rFonts w:ascii="Verdana" w:hAnsi="Verdana"/>
        </w:rPr>
        <w:t xml:space="preserve">El derecho a la libertad es uno de los fundamentales de nuestro ordenamiento jurídico, no sólo por venir recogido expresamente en el </w:t>
      </w:r>
      <w:hyperlink r:id="rId5" w:anchor="I178')" w:tooltip="enlace" w:history="1">
        <w:r w:rsidRPr="009510EE">
          <w:rPr>
            <w:rFonts w:ascii="Verdana" w:hAnsi="Verdana"/>
            <w:u w:val="single"/>
          </w:rPr>
          <w:t>artículo 17 de la Constitución</w:t>
        </w:r>
      </w:hyperlink>
      <w:r w:rsidRPr="009510EE">
        <w:rPr>
          <w:rFonts w:ascii="Verdana" w:hAnsi="Verdana"/>
        </w:rPr>
        <w:t xml:space="preserve">, sino porque en su artículo primero se señala a la libertad como uno de los valores superiores de nuestro ordenamiento jurídico. El derecho a la libertad está expresamente recogido en los textos de derechos humanos internacionales, suscritos por España y que también son de aplicación en nuestro país, conforme a lo dispuesto en el </w:t>
      </w:r>
      <w:hyperlink r:id="rId6" w:anchor="I174')" w:tooltip="enlace" w:history="1">
        <w:r w:rsidRPr="009510EE">
          <w:rPr>
            <w:rFonts w:ascii="Verdana" w:hAnsi="Verdana"/>
            <w:u w:val="single"/>
          </w:rPr>
          <w:t>artículo 10 de la propia Constitución</w:t>
        </w:r>
      </w:hyperlink>
      <w:r w:rsidRPr="009510EE">
        <w:rPr>
          <w:rFonts w:ascii="Verdana" w:hAnsi="Verdana"/>
        </w:rPr>
        <w:t xml:space="preserve">. Así, la </w:t>
      </w:r>
      <w:hyperlink r:id="rId7" w:tooltip="enlace" w:history="1">
        <w:r w:rsidRPr="009510EE">
          <w:rPr>
            <w:rFonts w:ascii="Verdana" w:hAnsi="Verdana"/>
            <w:u w:val="single"/>
          </w:rPr>
          <w:t xml:space="preserve">Declaración Universal de Derecho Humanos de 10 de diciembre de 1948 </w:t>
        </w:r>
      </w:hyperlink>
      <w:r w:rsidRPr="009510EE">
        <w:rPr>
          <w:rFonts w:ascii="Verdana" w:hAnsi="Verdana"/>
        </w:rPr>
        <w:t>prohíbe la detención arbitraria (</w:t>
      </w:r>
      <w:hyperlink r:id="rId8" w:anchor="I18')" w:tooltip="enlace" w:history="1">
        <w:r w:rsidRPr="009510EE">
          <w:rPr>
            <w:rFonts w:ascii="Verdana" w:hAnsi="Verdana"/>
            <w:u w:val="single"/>
          </w:rPr>
          <w:t>artículo 9); el Pacto Internacional de Derechos Civiles y Políticos</w:t>
        </w:r>
      </w:hyperlink>
      <w:r w:rsidRPr="009510EE">
        <w:rPr>
          <w:rFonts w:ascii="Verdana" w:hAnsi="Verdana"/>
        </w:rPr>
        <w:t xml:space="preserve"> de Nueva York de 16 de diciembre de 1966 establece además que la detención sólo podrá acordarse por las causas legalmente previstas y, de forma mucho más precisa la </w:t>
      </w:r>
      <w:hyperlink r:id="rId9" w:tooltip="enlace" w:history="1">
        <w:r w:rsidRPr="009510EE">
          <w:rPr>
            <w:rFonts w:ascii="Verdana" w:hAnsi="Verdana"/>
            <w:u w:val="single"/>
          </w:rPr>
          <w:t>Convención para la Salvaguardia de los Derechos del Hombre y de las Libertades Fundamentales, hecha en Roma el 4 de noviembre de 1950</w:t>
        </w:r>
      </w:hyperlink>
      <w:r w:rsidRPr="009510EE">
        <w:rPr>
          <w:rFonts w:ascii="Verdana" w:hAnsi="Verdana"/>
        </w:rPr>
        <w:t xml:space="preserve">, establece con todo detalle los supuestos en que una detención es legítima, tales como la condena por Tribunal competente, la desobediencia a una orden </w:t>
      </w:r>
      <w:r w:rsidRPr="009510EE">
        <w:rPr>
          <w:rFonts w:ascii="Verdana" w:hAnsi="Verdana"/>
        </w:rPr>
        <w:lastRenderedPageBreak/>
        <w:t>legal de un Tribunal, la necesidad de garantizar la ejecución de una obligación legal, la necesidad de hacer comparecer ante un Juez si hay sospecha de criminalidad, para evitar la fuga o para evitar la comisión de una infracción, la detención de menores para someterlos a vigilancia educativa, la detención de enajenados, toxicómanos, alcohólicos, vagabundos o de personas susceptibles de propagar enfermedades contagiosas y la detención de extranjeros para impedirles la entrada en territorio nacional o para proceder a su expulsión.</w:t>
      </w:r>
      <w:r w:rsidR="00ED391E" w:rsidRPr="00ED391E">
        <w:rPr>
          <w:rFonts w:ascii="Verdana" w:hAnsi="Verdana"/>
        </w:rPr>
        <w:t xml:space="preserve"> </w:t>
      </w:r>
      <w:r w:rsidRPr="009510EE">
        <w:rPr>
          <w:rFonts w:ascii="Verdana" w:hAnsi="Verdana"/>
          <w:b/>
          <w:bCs/>
          <w:u w:val="single"/>
        </w:rPr>
        <w:t xml:space="preserve">Lo que la ley penal protege con este delito es la libertad, y como tiene muchas manifestaciones, lo que fundamentalmente se protege es la llamada </w:t>
      </w:r>
      <w:r w:rsidRPr="009510EE">
        <w:rPr>
          <w:rFonts w:ascii="Verdana" w:hAnsi="Verdana"/>
          <w:b/>
          <w:bCs/>
          <w:i/>
          <w:iCs/>
          <w:u w:val="single"/>
        </w:rPr>
        <w:t>"libertad deambulatoria"</w:t>
      </w:r>
      <w:r w:rsidRPr="009510EE">
        <w:rPr>
          <w:rFonts w:ascii="Verdana" w:hAnsi="Verdana"/>
          <w:b/>
          <w:bCs/>
          <w:u w:val="single"/>
        </w:rPr>
        <w:t>, es decir, la facultad de permanecer o trasladarse de un lugar a otro, el derecho de toda persona a situarse en un espacio físico concreto.</w:t>
      </w:r>
    </w:p>
    <w:p w14:paraId="5F11D241" w14:textId="77777777" w:rsidR="007130BD" w:rsidRPr="00ED391E" w:rsidRDefault="007130BD" w:rsidP="00ED391E">
      <w:pPr>
        <w:spacing w:line="360" w:lineRule="auto"/>
        <w:ind w:left="284" w:right="288"/>
        <w:jc w:val="both"/>
        <w:rPr>
          <w:rFonts w:ascii="Verdana" w:hAnsi="Verdana"/>
          <w:bCs/>
        </w:rPr>
      </w:pPr>
    </w:p>
    <w:p w14:paraId="40CB3C77" w14:textId="22473329" w:rsidR="001E56D8" w:rsidRPr="00ED391E" w:rsidRDefault="001E56D8" w:rsidP="00ED391E">
      <w:pPr>
        <w:spacing w:line="360" w:lineRule="auto"/>
        <w:ind w:right="288" w:firstLine="708"/>
        <w:jc w:val="both"/>
        <w:rPr>
          <w:rFonts w:ascii="Verdana" w:hAnsi="Verdana"/>
          <w:bCs/>
        </w:rPr>
      </w:pPr>
      <w:r w:rsidRPr="00ED391E">
        <w:rPr>
          <w:rFonts w:ascii="Verdana" w:hAnsi="Verdana"/>
          <w:bCs/>
        </w:rPr>
        <w:t>En su virtud,</w:t>
      </w:r>
    </w:p>
    <w:p w14:paraId="4FDB6BEF" w14:textId="77777777" w:rsidR="001E56D8" w:rsidRPr="00ED391E" w:rsidRDefault="001E56D8" w:rsidP="00ED391E">
      <w:pPr>
        <w:spacing w:line="360" w:lineRule="auto"/>
        <w:ind w:left="284" w:right="288"/>
        <w:jc w:val="both"/>
        <w:rPr>
          <w:rFonts w:ascii="Verdana" w:hAnsi="Verdana"/>
        </w:rPr>
      </w:pPr>
    </w:p>
    <w:p w14:paraId="2FC88D56" w14:textId="78649808" w:rsidR="001E56D8" w:rsidRPr="00ED391E" w:rsidRDefault="001E56D8" w:rsidP="00ED391E">
      <w:pPr>
        <w:spacing w:line="360" w:lineRule="auto"/>
        <w:ind w:left="284" w:right="288" w:firstLine="424"/>
        <w:jc w:val="both"/>
        <w:rPr>
          <w:rFonts w:ascii="Verdana" w:hAnsi="Verdana"/>
        </w:rPr>
      </w:pPr>
      <w:r w:rsidRPr="00ED391E">
        <w:rPr>
          <w:rFonts w:ascii="Verdana" w:hAnsi="Verdana"/>
          <w:b/>
          <w:iCs/>
        </w:rPr>
        <w:t xml:space="preserve">SUPLICO AL JUZGADO </w:t>
      </w:r>
      <w:r w:rsidRPr="00ED391E">
        <w:rPr>
          <w:rFonts w:ascii="Verdana" w:hAnsi="Verdana"/>
        </w:rPr>
        <w:t xml:space="preserve">Que teniendo por presentado este escrito con los documentos que se acompañan, se sirva admitirlo, tenga por formulada la denuncia a que el mismo se contrae, acuerde la práctica de Diligencias que determine las responsabilidades en que ha incurrido el o los responsables </w:t>
      </w:r>
      <w:r w:rsidR="00ED391E">
        <w:rPr>
          <w:rFonts w:ascii="Verdana" w:hAnsi="Verdana"/>
        </w:rPr>
        <w:t>arriba referenciados</w:t>
      </w:r>
      <w:r w:rsidRPr="00ED391E">
        <w:rPr>
          <w:rFonts w:ascii="Verdana" w:hAnsi="Verdana"/>
        </w:rPr>
        <w:t>, sin perjuicio de ampliar la DENUNCIA posteriormente contra todas aquellas personas que a lo largo de la instrucción se acredite que han podido encubrir u obstruir la acción de la justicia en la instrucción de los hechos objeto de investigación, disponga, la apertura de las correspondientes DILIGENCIAS PREVIAS de conformidad con el art. 779.1.4 de la Lecrim que establece que practicadas las diligencias de investigación pertinentes, el Juez de instrucción las transformará en procedimiento abreviado si los hechos investigados constituyesen delito comprendido en el art. 757 de la Lecrim concretando su indiciaria relevancia penal y las personas a las que se les imputan.</w:t>
      </w:r>
    </w:p>
    <w:p w14:paraId="0B3B69FF" w14:textId="4E4FBDD3" w:rsidR="001E56D8" w:rsidRPr="00ED391E" w:rsidRDefault="001E56D8" w:rsidP="00ED391E">
      <w:pPr>
        <w:spacing w:line="360" w:lineRule="auto"/>
        <w:ind w:right="288" w:firstLine="708"/>
        <w:jc w:val="both"/>
        <w:rPr>
          <w:rFonts w:ascii="Verdana" w:hAnsi="Verdana"/>
        </w:rPr>
      </w:pPr>
      <w:r w:rsidRPr="00ED391E">
        <w:rPr>
          <w:rFonts w:ascii="Verdana" w:hAnsi="Verdana"/>
        </w:rPr>
        <w:t xml:space="preserve">Es Justo, en </w:t>
      </w:r>
      <w:r w:rsidR="00ED391E">
        <w:rPr>
          <w:rFonts w:ascii="Verdana" w:hAnsi="Verdana"/>
        </w:rPr>
        <w:t xml:space="preserve">(lugar de residencia……..) </w:t>
      </w:r>
      <w:r w:rsidRPr="00ED391E">
        <w:rPr>
          <w:rFonts w:ascii="Verdana" w:hAnsi="Verdana"/>
        </w:rPr>
        <w:t xml:space="preserve">a </w:t>
      </w:r>
      <w:r w:rsidR="00ED391E">
        <w:rPr>
          <w:rFonts w:ascii="Verdana" w:hAnsi="Verdana"/>
        </w:rPr>
        <w:t>22 de marzo de 2021.</w:t>
      </w:r>
    </w:p>
    <w:p w14:paraId="015E15DC" w14:textId="77777777" w:rsidR="001E56D8" w:rsidRPr="00ED391E" w:rsidRDefault="001E56D8" w:rsidP="00ED391E">
      <w:pPr>
        <w:spacing w:line="360" w:lineRule="auto"/>
        <w:ind w:left="284" w:right="288"/>
        <w:jc w:val="both"/>
        <w:rPr>
          <w:rFonts w:ascii="Verdana" w:hAnsi="Verdana"/>
        </w:rPr>
      </w:pPr>
    </w:p>
    <w:p w14:paraId="11795192" w14:textId="77777777" w:rsidR="001E56D8" w:rsidRPr="00ED391E" w:rsidRDefault="001E56D8" w:rsidP="00ED391E">
      <w:pPr>
        <w:spacing w:line="360" w:lineRule="auto"/>
        <w:ind w:left="284" w:right="288"/>
        <w:jc w:val="both"/>
        <w:rPr>
          <w:rFonts w:ascii="Verdana" w:hAnsi="Verdana"/>
        </w:rPr>
      </w:pPr>
    </w:p>
    <w:p w14:paraId="6AAE5E60" w14:textId="77777777" w:rsidR="00C30B6C" w:rsidRPr="00ED391E" w:rsidRDefault="00C30B6C" w:rsidP="00ED391E">
      <w:pPr>
        <w:spacing w:line="360" w:lineRule="auto"/>
        <w:ind w:left="284" w:right="288"/>
        <w:jc w:val="both"/>
        <w:rPr>
          <w:rFonts w:ascii="Verdana" w:hAnsi="Verdana"/>
        </w:rPr>
      </w:pPr>
    </w:p>
    <w:sectPr w:rsidR="00C30B6C" w:rsidRPr="00ED391E" w:rsidSect="007124DD">
      <w:pgSz w:w="11906" w:h="16838" w:code="9"/>
      <w:pgMar w:top="902" w:right="1287" w:bottom="1259"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F0A6C"/>
    <w:multiLevelType w:val="hybridMultilevel"/>
    <w:tmpl w:val="9B8CCAFE"/>
    <w:lvl w:ilvl="0" w:tplc="0C0A000F">
      <w:start w:val="1"/>
      <w:numFmt w:val="decimal"/>
      <w:lvlText w:val="%1."/>
      <w:lvlJc w:val="left"/>
      <w:pPr>
        <w:ind w:left="1144" w:hanging="360"/>
      </w:pPr>
      <w:rPr>
        <w:rFonts w:hint="default"/>
      </w:rPr>
    </w:lvl>
    <w:lvl w:ilvl="1" w:tplc="0C0A0019" w:tentative="1">
      <w:start w:val="1"/>
      <w:numFmt w:val="lowerLetter"/>
      <w:lvlText w:val="%2."/>
      <w:lvlJc w:val="left"/>
      <w:pPr>
        <w:ind w:left="1864" w:hanging="360"/>
      </w:pPr>
    </w:lvl>
    <w:lvl w:ilvl="2" w:tplc="0C0A001B" w:tentative="1">
      <w:start w:val="1"/>
      <w:numFmt w:val="lowerRoman"/>
      <w:lvlText w:val="%3."/>
      <w:lvlJc w:val="right"/>
      <w:pPr>
        <w:ind w:left="2584" w:hanging="180"/>
      </w:pPr>
    </w:lvl>
    <w:lvl w:ilvl="3" w:tplc="0C0A000F" w:tentative="1">
      <w:start w:val="1"/>
      <w:numFmt w:val="decimal"/>
      <w:lvlText w:val="%4."/>
      <w:lvlJc w:val="left"/>
      <w:pPr>
        <w:ind w:left="3304" w:hanging="360"/>
      </w:pPr>
    </w:lvl>
    <w:lvl w:ilvl="4" w:tplc="0C0A0019" w:tentative="1">
      <w:start w:val="1"/>
      <w:numFmt w:val="lowerLetter"/>
      <w:lvlText w:val="%5."/>
      <w:lvlJc w:val="left"/>
      <w:pPr>
        <w:ind w:left="4024" w:hanging="360"/>
      </w:pPr>
    </w:lvl>
    <w:lvl w:ilvl="5" w:tplc="0C0A001B" w:tentative="1">
      <w:start w:val="1"/>
      <w:numFmt w:val="lowerRoman"/>
      <w:lvlText w:val="%6."/>
      <w:lvlJc w:val="right"/>
      <w:pPr>
        <w:ind w:left="4744" w:hanging="180"/>
      </w:pPr>
    </w:lvl>
    <w:lvl w:ilvl="6" w:tplc="0C0A000F" w:tentative="1">
      <w:start w:val="1"/>
      <w:numFmt w:val="decimal"/>
      <w:lvlText w:val="%7."/>
      <w:lvlJc w:val="left"/>
      <w:pPr>
        <w:ind w:left="5464" w:hanging="360"/>
      </w:pPr>
    </w:lvl>
    <w:lvl w:ilvl="7" w:tplc="0C0A0019" w:tentative="1">
      <w:start w:val="1"/>
      <w:numFmt w:val="lowerLetter"/>
      <w:lvlText w:val="%8."/>
      <w:lvlJc w:val="left"/>
      <w:pPr>
        <w:ind w:left="6184" w:hanging="360"/>
      </w:pPr>
    </w:lvl>
    <w:lvl w:ilvl="8" w:tplc="0C0A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D8"/>
    <w:rsid w:val="001E56D8"/>
    <w:rsid w:val="002206A6"/>
    <w:rsid w:val="002B73C4"/>
    <w:rsid w:val="007130BD"/>
    <w:rsid w:val="009510EE"/>
    <w:rsid w:val="00985C70"/>
    <w:rsid w:val="00C30B6C"/>
    <w:rsid w:val="00ED391E"/>
    <w:rsid w:val="00F34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05CA"/>
  <w15:chartTrackingRefBased/>
  <w15:docId w15:val="{68B2C6B8-23DE-4267-A906-F4BCEF8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6D8"/>
    <w:pPr>
      <w:ind w:left="720"/>
      <w:contextualSpacing/>
    </w:pPr>
  </w:style>
  <w:style w:type="paragraph" w:styleId="NormalWeb">
    <w:name w:val="Normal (Web)"/>
    <w:basedOn w:val="Normal"/>
    <w:uiPriority w:val="99"/>
    <w:unhideWhenUsed/>
    <w:rsid w:val="001E56D8"/>
  </w:style>
  <w:style w:type="paragraph" w:customStyle="1" w:styleId="parrafo">
    <w:name w:val="parrafo"/>
    <w:basedOn w:val="Normal"/>
    <w:rsid w:val="002B73C4"/>
    <w:pPr>
      <w:spacing w:before="100" w:beforeAutospacing="1" w:after="100" w:afterAutospacing="1"/>
    </w:pPr>
  </w:style>
  <w:style w:type="paragraph" w:customStyle="1" w:styleId="parrafo2">
    <w:name w:val="parrafo_2"/>
    <w:basedOn w:val="Normal"/>
    <w:rsid w:val="002B73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10167">
      <w:bodyDiv w:val="1"/>
      <w:marLeft w:val="0"/>
      <w:marRight w:val="0"/>
      <w:marTop w:val="0"/>
      <w:marBottom w:val="0"/>
      <w:divBdr>
        <w:top w:val="none" w:sz="0" w:space="0" w:color="auto"/>
        <w:left w:val="none" w:sz="0" w:space="0" w:color="auto"/>
        <w:bottom w:val="none" w:sz="0" w:space="0" w:color="auto"/>
        <w:right w:val="none" w:sz="0" w:space="0" w:color="auto"/>
      </w:divBdr>
    </w:div>
    <w:div w:id="1267035639">
      <w:bodyDiv w:val="1"/>
      <w:marLeft w:val="0"/>
      <w:marRight w:val="0"/>
      <w:marTop w:val="0"/>
      <w:marBottom w:val="0"/>
      <w:divBdr>
        <w:top w:val="none" w:sz="0" w:space="0" w:color="auto"/>
        <w:left w:val="none" w:sz="0" w:space="0" w:color="auto"/>
        <w:bottom w:val="none" w:sz="0" w:space="0" w:color="auto"/>
        <w:right w:val="none" w:sz="0" w:space="0" w:color="auto"/>
      </w:divBdr>
    </w:div>
    <w:div w:id="1492209054">
      <w:bodyDiv w:val="1"/>
      <w:marLeft w:val="0"/>
      <w:marRight w:val="0"/>
      <w:marTop w:val="0"/>
      <w:marBottom w:val="0"/>
      <w:divBdr>
        <w:top w:val="none" w:sz="0" w:space="0" w:color="auto"/>
        <w:left w:val="none" w:sz="0" w:space="0" w:color="auto"/>
        <w:bottom w:val="none" w:sz="0" w:space="0" w:color="auto"/>
        <w:right w:val="none" w:sz="0" w:space="0" w:color="auto"/>
      </w:divBdr>
    </w:div>
    <w:div w:id="1884631045">
      <w:bodyDiv w:val="1"/>
      <w:marLeft w:val="0"/>
      <w:marRight w:val="0"/>
      <w:marTop w:val="0"/>
      <w:marBottom w:val="0"/>
      <w:divBdr>
        <w:top w:val="none" w:sz="0" w:space="0" w:color="auto"/>
        <w:left w:val="none" w:sz="0" w:space="0" w:color="auto"/>
        <w:bottom w:val="none" w:sz="0" w:space="0" w:color="auto"/>
        <w:right w:val="none" w:sz="0" w:space="0" w:color="auto"/>
      </w:divBdr>
      <w:divsChild>
        <w:div w:id="2008481925">
          <w:marLeft w:val="0"/>
          <w:marRight w:val="0"/>
          <w:marTop w:val="0"/>
          <w:marBottom w:val="0"/>
          <w:divBdr>
            <w:top w:val="none" w:sz="0" w:space="0" w:color="auto"/>
            <w:left w:val="none" w:sz="0" w:space="0" w:color="auto"/>
            <w:bottom w:val="none" w:sz="0" w:space="0" w:color="auto"/>
            <w:right w:val="none" w:sz="0" w:space="0" w:color="auto"/>
          </w:divBdr>
          <w:divsChild>
            <w:div w:id="664405009">
              <w:marLeft w:val="0"/>
              <w:marRight w:val="0"/>
              <w:marTop w:val="0"/>
              <w:marBottom w:val="0"/>
              <w:divBdr>
                <w:top w:val="none" w:sz="0" w:space="0" w:color="auto"/>
                <w:left w:val="none" w:sz="0" w:space="0" w:color="auto"/>
                <w:bottom w:val="none" w:sz="0" w:space="0" w:color="auto"/>
                <w:right w:val="none" w:sz="0" w:space="0" w:color="auto"/>
              </w:divBdr>
              <w:divsChild>
                <w:div w:id="748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8276_Vigente.HTML" TargetMode="External"/><Relationship Id="rId3" Type="http://schemas.openxmlformats.org/officeDocument/2006/relationships/settings" Target="settings.xml"/><Relationship Id="rId7" Type="http://schemas.openxmlformats.org/officeDocument/2006/relationships/hyperlink" Target="javascript:Redirection('LE0000019218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019668_Vigente.HTML" TargetMode="External"/><Relationship Id="rId11" Type="http://schemas.openxmlformats.org/officeDocument/2006/relationships/theme" Target="theme/theme1.xml"/><Relationship Id="rId5" Type="http://schemas.openxmlformats.org/officeDocument/2006/relationships/hyperlink" Target="javascript:Redirection('LE0000019668_Vigen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Redirection('LE0000007640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7</cp:revision>
  <dcterms:created xsi:type="dcterms:W3CDTF">2021-03-22T10:55:00Z</dcterms:created>
  <dcterms:modified xsi:type="dcterms:W3CDTF">2021-03-22T11:36:00Z</dcterms:modified>
</cp:coreProperties>
</file>